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E6E0" w14:textId="67930675" w:rsidR="00DF7D55" w:rsidRDefault="00DF7D55" w:rsidP="00DF7D55">
      <w:pPr>
        <w:pStyle w:val="Heading1"/>
        <w:ind w:left="-142"/>
        <w:rPr>
          <w:rFonts w:ascii="USABlack" w:hAnsi="USABlack"/>
          <w:color w:val="00FF00"/>
          <w:sz w:val="44"/>
          <w:szCs w:val="44"/>
        </w:rPr>
      </w:pPr>
      <w:r>
        <w:rPr>
          <w:rFonts w:ascii="Arial" w:hAnsi="Arial" w:cs="Arial"/>
          <w:color w:val="008000"/>
          <w:sz w:val="46"/>
          <w:szCs w:val="46"/>
        </w:rPr>
        <mc:AlternateContent>
          <mc:Choice Requires="wps">
            <w:drawing>
              <wp:anchor distT="0" distB="0" distL="114300" distR="114300" simplePos="0" relativeHeight="251659264" behindDoc="0" locked="0" layoutInCell="1" allowOverlap="1" wp14:anchorId="1E43FF59" wp14:editId="08930697">
                <wp:simplePos x="0" y="0"/>
                <wp:positionH relativeFrom="margin">
                  <wp:align>left</wp:align>
                </wp:positionH>
                <wp:positionV relativeFrom="paragraph">
                  <wp:posOffset>-57150</wp:posOffset>
                </wp:positionV>
                <wp:extent cx="5724525" cy="590550"/>
                <wp:effectExtent l="0" t="0" r="28575" b="1905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590550"/>
                        </a:xfrm>
                        <a:prstGeom prst="roundRect">
                          <a:avLst>
                            <a:gd name="adj" fmla="val 16667"/>
                          </a:avLst>
                        </a:prstGeom>
                        <a:noFill/>
                        <a:ln w="9525">
                          <a:solidFill>
                            <a:srgbClr val="70AD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F081AD" id="Rectangle: Rounded Corners 2" o:spid="_x0000_s1026" style="position:absolute;margin-left:0;margin-top:-4.5pt;width:450.75pt;height:4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" filled="f" strokecolor="#70ad47">
                <w10:wrap anchorx="margin"/>
              </v:roundrect>
            </w:pict>
          </mc:Fallback>
        </mc:AlternateContent>
      </w:r>
      <w:r w:rsidR="007C4650">
        <w:rPr>
          <w:rFonts w:ascii="Arial" w:hAnsi="Arial" w:cs="Arial"/>
          <w:color w:val="008000"/>
          <w:sz w:val="46"/>
          <w:szCs w:val="46"/>
        </w:rPr>
        <w:t xml:space="preserve">   </w:t>
      </w:r>
      <w:r w:rsidRPr="00506B2A">
        <w:rPr>
          <w:rFonts w:ascii="Arial" w:hAnsi="Arial" w:cs="Arial"/>
          <w:color w:val="008000"/>
          <w:sz w:val="46"/>
          <w:szCs w:val="46"/>
        </w:rPr>
        <w:t>Inkberrow Millennium</w:t>
      </w:r>
      <w:r w:rsidRPr="0011301C">
        <w:rPr>
          <w:rFonts w:ascii="Arial" w:hAnsi="Arial" w:cs="Arial"/>
          <w:color w:val="008000"/>
          <w:sz w:val="46"/>
          <w:szCs w:val="46"/>
        </w:rPr>
        <w:t xml:space="preserve"> </w:t>
      </w:r>
      <w:r w:rsidRPr="00506B2A">
        <w:rPr>
          <w:rFonts w:ascii="Arial" w:hAnsi="Arial" w:cs="Arial"/>
          <w:color w:val="008000"/>
          <w:sz w:val="46"/>
          <w:szCs w:val="46"/>
        </w:rPr>
        <w:t>Green Trust</w:t>
      </w:r>
    </w:p>
    <w:p w14:paraId="0C6BDE09" w14:textId="6FB72063" w:rsidR="00DF7D55" w:rsidRPr="007C4650" w:rsidRDefault="007C4650" w:rsidP="00DF7D55">
      <w:pPr>
        <w:pStyle w:val="Heading1"/>
        <w:ind w:left="-142"/>
        <w:rPr>
          <w:rFonts w:ascii="Arial" w:hAnsi="Arial" w:cs="Arial"/>
          <w:color w:val="008000"/>
          <w:sz w:val="18"/>
          <w:szCs w:val="18"/>
        </w:rPr>
      </w:pPr>
      <w:r>
        <w:rPr>
          <w:rFonts w:ascii="Arial" w:hAnsi="Arial" w:cs="Arial"/>
          <w:color w:val="008000"/>
          <w:sz w:val="16"/>
          <w:szCs w:val="16"/>
        </w:rPr>
        <w:t xml:space="preserve">         </w:t>
      </w:r>
      <w:r w:rsidR="00DF7D55" w:rsidRPr="007C4650">
        <w:rPr>
          <w:rFonts w:ascii="Arial" w:hAnsi="Arial" w:cs="Arial"/>
          <w:color w:val="008000"/>
          <w:sz w:val="18"/>
          <w:szCs w:val="18"/>
        </w:rPr>
        <w:t>Registered Charity 1075736</w:t>
      </w:r>
    </w:p>
    <w:p w14:paraId="54D32545" w14:textId="4349B875" w:rsidR="00DF7D55" w:rsidRDefault="00DF7D55" w:rsidP="00DF7D55">
      <w:pPr>
        <w:ind w:left="-142"/>
        <w:rPr>
          <w:rFonts w:ascii="Arial" w:hAnsi="Arial" w:cs="Arial"/>
          <w:noProof/>
          <w:color w:val="008000"/>
          <w:sz w:val="16"/>
          <w:szCs w:val="16"/>
        </w:rPr>
      </w:pPr>
    </w:p>
    <w:p w14:paraId="5C1B7371" w14:textId="77777777" w:rsidR="00FC402D" w:rsidRPr="00A772FB" w:rsidRDefault="004A4A9B" w:rsidP="00E34845">
      <w:pPr>
        <w:ind w:left="-142"/>
        <w:rPr>
          <w:rFonts w:ascii="Arial" w:hAnsi="Arial" w:cs="Arial"/>
          <w:noProof/>
          <w:color w:val="008000"/>
          <w:sz w:val="16"/>
          <w:szCs w:val="16"/>
        </w:rPr>
      </w:pPr>
      <w:r w:rsidRPr="00A772FB">
        <w:rPr>
          <w:rFonts w:ascii="Arial" w:hAnsi="Arial" w:cs="Arial"/>
          <w:noProof/>
          <w:color w:val="008000"/>
          <w:sz w:val="16"/>
          <w:szCs w:val="16"/>
        </w:rPr>
        <w:tab/>
      </w:r>
    </w:p>
    <w:p w14:paraId="207E282F" w14:textId="7F7239AC" w:rsidR="00C6340B" w:rsidRPr="00096DD6" w:rsidRDefault="004A4A9B" w:rsidP="00A772FB">
      <w:pPr>
        <w:ind w:left="-142" w:firstLine="142"/>
        <w:rPr>
          <w:rFonts w:cstheme="minorHAnsi"/>
          <w:sz w:val="28"/>
          <w:szCs w:val="28"/>
          <w:u w:val="single"/>
        </w:rPr>
      </w:pPr>
      <w:r w:rsidRPr="00096DD6">
        <w:rPr>
          <w:rFonts w:cstheme="minorHAnsi"/>
          <w:sz w:val="28"/>
          <w:szCs w:val="28"/>
          <w:u w:val="single"/>
        </w:rPr>
        <w:t>Equal Opportunities</w:t>
      </w:r>
      <w:r w:rsidR="0099229B" w:rsidRPr="00096DD6">
        <w:rPr>
          <w:rFonts w:cstheme="minorHAnsi"/>
          <w:sz w:val="28"/>
          <w:szCs w:val="28"/>
          <w:u w:val="single"/>
        </w:rPr>
        <w:t xml:space="preserve"> Policy</w:t>
      </w:r>
    </w:p>
    <w:p w14:paraId="60D4C156" w14:textId="77777777" w:rsidR="00C6340B" w:rsidRPr="00A772FB" w:rsidRDefault="00C6340B">
      <w:pPr>
        <w:rPr>
          <w:rFonts w:ascii="Arial" w:hAnsi="Arial" w:cs="Arial"/>
          <w:sz w:val="16"/>
          <w:szCs w:val="16"/>
        </w:rPr>
      </w:pPr>
    </w:p>
    <w:p w14:paraId="627835D4" w14:textId="34A8A033" w:rsidR="00C6340B" w:rsidRPr="00A772FB" w:rsidRDefault="0099229B">
      <w:pPr>
        <w:rPr>
          <w:rFonts w:cstheme="minorHAnsi"/>
          <w:sz w:val="28"/>
          <w:szCs w:val="28"/>
        </w:rPr>
      </w:pPr>
      <w:r w:rsidRPr="00A772FB">
        <w:rPr>
          <w:rFonts w:cstheme="minorHAnsi"/>
          <w:sz w:val="28"/>
          <w:szCs w:val="28"/>
        </w:rPr>
        <w:t>1.</w:t>
      </w:r>
      <w:r w:rsidR="00256926" w:rsidRPr="00A772FB">
        <w:rPr>
          <w:rFonts w:cstheme="minorHAnsi"/>
          <w:sz w:val="28"/>
          <w:szCs w:val="28"/>
        </w:rPr>
        <w:t>0</w:t>
      </w:r>
      <w:r w:rsidRPr="00A772FB">
        <w:rPr>
          <w:rFonts w:cstheme="minorHAnsi"/>
          <w:sz w:val="28"/>
          <w:szCs w:val="28"/>
        </w:rPr>
        <w:t xml:space="preserve"> Purpose:</w:t>
      </w:r>
    </w:p>
    <w:p w14:paraId="0692E818" w14:textId="4CDEA102" w:rsidR="0099229B" w:rsidRPr="00E34845" w:rsidRDefault="0099229B">
      <w:pPr>
        <w:rPr>
          <w:rFonts w:ascii="Arial" w:hAnsi="Arial" w:cs="Arial"/>
          <w:sz w:val="16"/>
          <w:szCs w:val="16"/>
        </w:rPr>
      </w:pPr>
    </w:p>
    <w:p w14:paraId="750F2B29" w14:textId="348D3BC9" w:rsidR="007C4650" w:rsidRPr="00A772FB" w:rsidRDefault="0099229B" w:rsidP="00C0338C">
      <w:pPr>
        <w:pStyle w:val="ListParagraph"/>
        <w:numPr>
          <w:ilvl w:val="1"/>
          <w:numId w:val="1"/>
        </w:numPr>
        <w:rPr>
          <w:rFonts w:cstheme="minorHAnsi"/>
          <w:sz w:val="24"/>
          <w:szCs w:val="24"/>
        </w:rPr>
      </w:pPr>
      <w:r w:rsidRPr="00A772FB">
        <w:rPr>
          <w:rFonts w:cstheme="minorHAnsi"/>
          <w:sz w:val="24"/>
          <w:szCs w:val="24"/>
        </w:rPr>
        <w:t xml:space="preserve">The Trustees of the Inkberrow Millennium Green Trust </w:t>
      </w:r>
      <w:r w:rsidR="00802CD0" w:rsidRPr="00A772FB">
        <w:rPr>
          <w:rFonts w:cstheme="minorHAnsi"/>
          <w:sz w:val="24"/>
          <w:szCs w:val="24"/>
        </w:rPr>
        <w:t xml:space="preserve">(IMGT) </w:t>
      </w:r>
      <w:r w:rsidR="00CA0814" w:rsidRPr="00A772FB">
        <w:rPr>
          <w:rFonts w:cstheme="minorHAnsi"/>
          <w:sz w:val="24"/>
          <w:szCs w:val="24"/>
        </w:rPr>
        <w:t>are committed to equal opportunities for all Trustees, Advisers, volunteers and contractor</w:t>
      </w:r>
      <w:r w:rsidR="007C4650" w:rsidRPr="00A772FB">
        <w:rPr>
          <w:rFonts w:cstheme="minorHAnsi"/>
          <w:sz w:val="24"/>
          <w:szCs w:val="24"/>
        </w:rPr>
        <w:t xml:space="preserve">s. </w:t>
      </w:r>
      <w:r w:rsidR="00C0338C" w:rsidRPr="00A772FB">
        <w:rPr>
          <w:rFonts w:cstheme="minorHAnsi"/>
          <w:sz w:val="24"/>
          <w:szCs w:val="24"/>
        </w:rPr>
        <w:t xml:space="preserve"> The Trust’</w:t>
      </w:r>
      <w:r w:rsidR="005F2385" w:rsidRPr="00A772FB">
        <w:rPr>
          <w:rFonts w:cstheme="minorHAnsi"/>
          <w:sz w:val="24"/>
          <w:szCs w:val="24"/>
        </w:rPr>
        <w:t xml:space="preserve">s </w:t>
      </w:r>
      <w:r w:rsidR="00C0338C" w:rsidRPr="00A772FB">
        <w:rPr>
          <w:rFonts w:cstheme="minorHAnsi"/>
          <w:sz w:val="24"/>
          <w:szCs w:val="24"/>
        </w:rPr>
        <w:t xml:space="preserve">governing document is </w:t>
      </w:r>
      <w:r w:rsidR="005F2385" w:rsidRPr="00A772FB">
        <w:rPr>
          <w:rFonts w:cstheme="minorHAnsi"/>
          <w:sz w:val="24"/>
          <w:szCs w:val="24"/>
        </w:rPr>
        <w:t>its</w:t>
      </w:r>
      <w:r w:rsidR="00C0338C" w:rsidRPr="00A772FB">
        <w:rPr>
          <w:rFonts w:cstheme="minorHAnsi"/>
          <w:sz w:val="24"/>
          <w:szCs w:val="24"/>
        </w:rPr>
        <w:t xml:space="preserve"> Trust Deed, dated 17 March 1999.</w:t>
      </w:r>
    </w:p>
    <w:p w14:paraId="626B03FD" w14:textId="77777777" w:rsidR="00C0338C" w:rsidRPr="00A772FB" w:rsidRDefault="00C0338C" w:rsidP="00C0338C">
      <w:pPr>
        <w:rPr>
          <w:rFonts w:cstheme="minorHAnsi"/>
          <w:sz w:val="16"/>
          <w:szCs w:val="16"/>
        </w:rPr>
      </w:pPr>
    </w:p>
    <w:p w14:paraId="4E419A40" w14:textId="240EEEC7" w:rsidR="00C0338C" w:rsidRPr="00A772FB" w:rsidRDefault="00C0338C" w:rsidP="00C0338C">
      <w:pPr>
        <w:ind w:left="426" w:hanging="426"/>
        <w:rPr>
          <w:rFonts w:cstheme="minorHAnsi"/>
          <w:sz w:val="24"/>
          <w:szCs w:val="24"/>
        </w:rPr>
      </w:pPr>
      <w:r w:rsidRPr="00A772FB">
        <w:rPr>
          <w:rFonts w:cstheme="minorHAnsi"/>
          <w:sz w:val="24"/>
          <w:szCs w:val="24"/>
        </w:rPr>
        <w:t xml:space="preserve">1.2  This policy is aimed at </w:t>
      </w:r>
      <w:r w:rsidR="00751FB4" w:rsidRPr="00A772FB">
        <w:rPr>
          <w:rFonts w:cstheme="minorHAnsi"/>
          <w:sz w:val="24"/>
          <w:szCs w:val="24"/>
        </w:rPr>
        <w:t xml:space="preserve">ensuring that </w:t>
      </w:r>
      <w:r w:rsidRPr="00A772FB">
        <w:rPr>
          <w:rFonts w:cstheme="minorHAnsi"/>
          <w:sz w:val="24"/>
          <w:szCs w:val="24"/>
        </w:rPr>
        <w:t>Trustees achieve appropriate diversity and non-</w:t>
      </w:r>
      <w:r w:rsidR="00844797" w:rsidRPr="00A772FB">
        <w:rPr>
          <w:rFonts w:cstheme="minorHAnsi"/>
          <w:sz w:val="24"/>
          <w:szCs w:val="24"/>
        </w:rPr>
        <w:t>discrimination</w:t>
      </w:r>
      <w:r w:rsidRPr="00A772FB">
        <w:rPr>
          <w:rFonts w:cstheme="minorHAnsi"/>
          <w:sz w:val="24"/>
          <w:szCs w:val="24"/>
        </w:rPr>
        <w:t xml:space="preserve"> in the </w:t>
      </w:r>
      <w:r w:rsidR="005F2385" w:rsidRPr="00A772FB">
        <w:rPr>
          <w:rFonts w:cstheme="minorHAnsi"/>
          <w:sz w:val="24"/>
          <w:szCs w:val="24"/>
        </w:rPr>
        <w:t xml:space="preserve">running of the </w:t>
      </w:r>
      <w:r w:rsidR="0088020C" w:rsidRPr="00A772FB">
        <w:rPr>
          <w:rFonts w:cstheme="minorHAnsi"/>
          <w:sz w:val="24"/>
          <w:szCs w:val="24"/>
        </w:rPr>
        <w:t xml:space="preserve">Millennium </w:t>
      </w:r>
      <w:r w:rsidR="005F2385" w:rsidRPr="00A772FB">
        <w:rPr>
          <w:rFonts w:cstheme="minorHAnsi"/>
          <w:sz w:val="24"/>
          <w:szCs w:val="24"/>
        </w:rPr>
        <w:t xml:space="preserve">Green </w:t>
      </w:r>
      <w:r w:rsidR="0088020C" w:rsidRPr="00A772FB">
        <w:rPr>
          <w:rFonts w:cstheme="minorHAnsi"/>
          <w:sz w:val="24"/>
          <w:szCs w:val="24"/>
        </w:rPr>
        <w:t xml:space="preserve">(the “Green”) </w:t>
      </w:r>
      <w:r w:rsidR="005F2385" w:rsidRPr="00A772FB">
        <w:rPr>
          <w:rFonts w:cstheme="minorHAnsi"/>
          <w:sz w:val="24"/>
          <w:szCs w:val="24"/>
        </w:rPr>
        <w:t xml:space="preserve">in line with </w:t>
      </w:r>
      <w:r w:rsidRPr="00A772FB">
        <w:rPr>
          <w:rFonts w:cstheme="minorHAnsi"/>
          <w:sz w:val="24"/>
          <w:szCs w:val="24"/>
        </w:rPr>
        <w:t>the Trust Deed</w:t>
      </w:r>
      <w:r w:rsidR="00F52D4B" w:rsidRPr="00A772FB">
        <w:rPr>
          <w:rFonts w:cstheme="minorHAnsi"/>
          <w:sz w:val="24"/>
          <w:szCs w:val="24"/>
        </w:rPr>
        <w:t xml:space="preserve"> and as set out in the Equality Act 2010</w:t>
      </w:r>
      <w:r w:rsidRPr="00A772FB">
        <w:rPr>
          <w:rFonts w:cstheme="minorHAnsi"/>
          <w:sz w:val="24"/>
          <w:szCs w:val="24"/>
        </w:rPr>
        <w:t>.</w:t>
      </w:r>
    </w:p>
    <w:p w14:paraId="35B296B6" w14:textId="59F9A87F" w:rsidR="00C6340B" w:rsidRPr="00A772FB" w:rsidRDefault="00C6340B">
      <w:pPr>
        <w:rPr>
          <w:rFonts w:ascii="Arial" w:hAnsi="Arial" w:cs="Arial"/>
          <w:sz w:val="16"/>
          <w:szCs w:val="16"/>
        </w:rPr>
      </w:pPr>
    </w:p>
    <w:p w14:paraId="59C1E747" w14:textId="7C88E52A" w:rsidR="007C4650" w:rsidRPr="00A772FB" w:rsidRDefault="007C4650">
      <w:pPr>
        <w:rPr>
          <w:rFonts w:cstheme="minorHAnsi"/>
          <w:sz w:val="28"/>
          <w:szCs w:val="28"/>
        </w:rPr>
      </w:pPr>
      <w:r w:rsidRPr="00A772FB">
        <w:rPr>
          <w:rFonts w:cstheme="minorHAnsi"/>
          <w:sz w:val="28"/>
          <w:szCs w:val="28"/>
        </w:rPr>
        <w:t>2.</w:t>
      </w:r>
      <w:r w:rsidR="00256926" w:rsidRPr="00A772FB">
        <w:rPr>
          <w:rFonts w:cstheme="minorHAnsi"/>
          <w:sz w:val="28"/>
          <w:szCs w:val="28"/>
        </w:rPr>
        <w:t>0</w:t>
      </w:r>
      <w:r w:rsidRPr="00A772FB">
        <w:rPr>
          <w:rFonts w:cstheme="minorHAnsi"/>
          <w:sz w:val="28"/>
          <w:szCs w:val="28"/>
        </w:rPr>
        <w:t xml:space="preserve"> </w:t>
      </w:r>
      <w:r w:rsidR="00256926" w:rsidRPr="00A772FB">
        <w:rPr>
          <w:rFonts w:cstheme="minorHAnsi"/>
          <w:sz w:val="28"/>
          <w:szCs w:val="28"/>
        </w:rPr>
        <w:t>General s</w:t>
      </w:r>
      <w:r w:rsidR="00B47BDD" w:rsidRPr="00A772FB">
        <w:rPr>
          <w:rFonts w:cstheme="minorHAnsi"/>
          <w:sz w:val="28"/>
          <w:szCs w:val="28"/>
        </w:rPr>
        <w:t>tatement</w:t>
      </w:r>
      <w:r w:rsidR="00256926" w:rsidRPr="00A772FB">
        <w:rPr>
          <w:rFonts w:cstheme="minorHAnsi"/>
          <w:sz w:val="28"/>
          <w:szCs w:val="28"/>
        </w:rPr>
        <w:t>:</w:t>
      </w:r>
    </w:p>
    <w:p w14:paraId="3625CEF3" w14:textId="77777777" w:rsidR="00256926" w:rsidRPr="00E34845" w:rsidRDefault="00256926">
      <w:pPr>
        <w:rPr>
          <w:rFonts w:ascii="Arial" w:hAnsi="Arial" w:cs="Arial"/>
          <w:sz w:val="16"/>
          <w:szCs w:val="16"/>
        </w:rPr>
      </w:pPr>
    </w:p>
    <w:p w14:paraId="3A6F8E2D" w14:textId="2637F81E" w:rsidR="0071233B" w:rsidRPr="00A772FB" w:rsidRDefault="00256926" w:rsidP="00256926">
      <w:pPr>
        <w:ind w:left="426" w:hanging="426"/>
        <w:rPr>
          <w:rFonts w:cstheme="minorHAnsi"/>
          <w:sz w:val="24"/>
          <w:szCs w:val="24"/>
        </w:rPr>
      </w:pPr>
      <w:r w:rsidRPr="00A772FB">
        <w:rPr>
          <w:rFonts w:cstheme="minorHAnsi"/>
          <w:sz w:val="24"/>
          <w:szCs w:val="24"/>
        </w:rPr>
        <w:t xml:space="preserve">2.1  </w:t>
      </w:r>
      <w:r w:rsidR="00B47BDD" w:rsidRPr="00A772FB">
        <w:rPr>
          <w:rFonts w:cstheme="minorHAnsi"/>
          <w:sz w:val="24"/>
          <w:szCs w:val="24"/>
        </w:rPr>
        <w:t xml:space="preserve">The </w:t>
      </w:r>
      <w:r w:rsidR="0099229B" w:rsidRPr="00A772FB">
        <w:rPr>
          <w:rFonts w:cstheme="minorHAnsi"/>
          <w:sz w:val="24"/>
          <w:szCs w:val="24"/>
        </w:rPr>
        <w:t>Trustees</w:t>
      </w:r>
      <w:r w:rsidR="00B47BDD" w:rsidRPr="00A772FB">
        <w:rPr>
          <w:rFonts w:cstheme="minorHAnsi"/>
          <w:sz w:val="24"/>
          <w:szCs w:val="24"/>
        </w:rPr>
        <w:t>’ policy is that decisions on new Trustees, volunteers, contractors and other parties required to be engaged to further the operation of the IMGT</w:t>
      </w:r>
      <w:r w:rsidR="00844797" w:rsidRPr="00A772FB">
        <w:rPr>
          <w:rFonts w:cstheme="minorHAnsi"/>
          <w:sz w:val="24"/>
          <w:szCs w:val="24"/>
        </w:rPr>
        <w:t xml:space="preserve"> </w:t>
      </w:r>
      <w:r w:rsidR="00B47BDD" w:rsidRPr="00A772FB">
        <w:rPr>
          <w:rFonts w:cstheme="minorHAnsi"/>
          <w:sz w:val="24"/>
          <w:szCs w:val="24"/>
        </w:rPr>
        <w:t>should be made on the basis of merit, transparent judgment</w:t>
      </w:r>
      <w:r w:rsidR="00844797" w:rsidRPr="00A772FB">
        <w:rPr>
          <w:rFonts w:cstheme="minorHAnsi"/>
          <w:sz w:val="24"/>
          <w:szCs w:val="24"/>
        </w:rPr>
        <w:t>, relevant experience</w:t>
      </w:r>
      <w:r w:rsidR="00B47BDD" w:rsidRPr="00A772FB">
        <w:rPr>
          <w:rFonts w:cstheme="minorHAnsi"/>
          <w:sz w:val="24"/>
          <w:szCs w:val="24"/>
        </w:rPr>
        <w:t xml:space="preserve"> and the legitimate needs of the charity</w:t>
      </w:r>
      <w:r w:rsidR="0071233B" w:rsidRPr="00A772FB">
        <w:rPr>
          <w:rFonts w:cstheme="minorHAnsi"/>
          <w:sz w:val="24"/>
          <w:szCs w:val="24"/>
        </w:rPr>
        <w:t xml:space="preserve">. </w:t>
      </w:r>
      <w:r w:rsidR="005F2385" w:rsidRPr="00A772FB">
        <w:rPr>
          <w:rFonts w:cstheme="minorHAnsi"/>
          <w:sz w:val="24"/>
          <w:szCs w:val="24"/>
        </w:rPr>
        <w:t xml:space="preserve">The Trust Deed provides for a vote to be taken on </w:t>
      </w:r>
      <w:r w:rsidR="00751FB4" w:rsidRPr="00A772FB">
        <w:rPr>
          <w:rFonts w:cstheme="minorHAnsi"/>
          <w:sz w:val="24"/>
          <w:szCs w:val="24"/>
        </w:rPr>
        <w:t>all matters</w:t>
      </w:r>
      <w:r w:rsidR="005F2385" w:rsidRPr="00A772FB">
        <w:rPr>
          <w:rFonts w:cstheme="minorHAnsi"/>
          <w:sz w:val="24"/>
          <w:szCs w:val="24"/>
        </w:rPr>
        <w:t xml:space="preserve">. </w:t>
      </w:r>
    </w:p>
    <w:p w14:paraId="0803C690" w14:textId="77777777" w:rsidR="0071233B" w:rsidRPr="00A772FB" w:rsidRDefault="0071233B" w:rsidP="00256926">
      <w:pPr>
        <w:ind w:left="426" w:hanging="426"/>
        <w:rPr>
          <w:rFonts w:cstheme="minorHAnsi"/>
          <w:sz w:val="16"/>
          <w:szCs w:val="16"/>
        </w:rPr>
      </w:pPr>
    </w:p>
    <w:p w14:paraId="4601D14B" w14:textId="0267D530" w:rsidR="007B04DB" w:rsidRPr="00A772FB" w:rsidRDefault="0071233B" w:rsidP="00F52D4B">
      <w:pPr>
        <w:ind w:left="426" w:hanging="426"/>
        <w:rPr>
          <w:rFonts w:cstheme="minorHAnsi"/>
          <w:sz w:val="24"/>
          <w:szCs w:val="24"/>
        </w:rPr>
      </w:pPr>
      <w:r w:rsidRPr="00A772FB">
        <w:rPr>
          <w:rFonts w:cstheme="minorHAnsi"/>
          <w:sz w:val="24"/>
          <w:szCs w:val="24"/>
        </w:rPr>
        <w:t xml:space="preserve">2.2  </w:t>
      </w:r>
      <w:r w:rsidR="00B47BDD" w:rsidRPr="00A772FB">
        <w:rPr>
          <w:rFonts w:cstheme="minorHAnsi"/>
          <w:sz w:val="24"/>
          <w:szCs w:val="24"/>
        </w:rPr>
        <w:t xml:space="preserve">The Trustees do not discriminate on the grounds of sex, race, </w:t>
      </w:r>
      <w:r w:rsidR="007C7290" w:rsidRPr="00A772FB">
        <w:rPr>
          <w:rFonts w:cstheme="minorHAnsi"/>
          <w:sz w:val="24"/>
          <w:szCs w:val="24"/>
        </w:rPr>
        <w:t xml:space="preserve">disability, </w:t>
      </w:r>
      <w:r w:rsidR="00B47BDD" w:rsidRPr="00A772FB">
        <w:rPr>
          <w:rFonts w:cstheme="minorHAnsi"/>
          <w:sz w:val="24"/>
          <w:szCs w:val="24"/>
        </w:rPr>
        <w:t>ethnic origin, sexual orientation o</w:t>
      </w:r>
      <w:r w:rsidR="007C7290" w:rsidRPr="00A772FB">
        <w:rPr>
          <w:rFonts w:cstheme="minorHAnsi"/>
          <w:sz w:val="24"/>
          <w:szCs w:val="24"/>
        </w:rPr>
        <w:t>r</w:t>
      </w:r>
      <w:r w:rsidR="00B47BDD" w:rsidRPr="00A772FB">
        <w:rPr>
          <w:rFonts w:cstheme="minorHAnsi"/>
          <w:sz w:val="24"/>
          <w:szCs w:val="24"/>
        </w:rPr>
        <w:t xml:space="preserve"> other </w:t>
      </w:r>
      <w:r w:rsidR="007C7290" w:rsidRPr="00A772FB">
        <w:rPr>
          <w:rFonts w:cstheme="minorHAnsi"/>
          <w:sz w:val="24"/>
          <w:szCs w:val="24"/>
        </w:rPr>
        <w:t xml:space="preserve">protected </w:t>
      </w:r>
      <w:r w:rsidR="00B47BDD" w:rsidRPr="00A772FB">
        <w:rPr>
          <w:rFonts w:cstheme="minorHAnsi"/>
          <w:sz w:val="24"/>
          <w:szCs w:val="24"/>
        </w:rPr>
        <w:t xml:space="preserve">characteristic </w:t>
      </w:r>
      <w:r w:rsidR="007C7290" w:rsidRPr="00A772FB">
        <w:rPr>
          <w:rFonts w:cstheme="minorHAnsi"/>
          <w:sz w:val="24"/>
          <w:szCs w:val="24"/>
        </w:rPr>
        <w:t>set out  in the Equality Act 2010.</w:t>
      </w:r>
    </w:p>
    <w:p w14:paraId="646A4A7B" w14:textId="5CB84BCB" w:rsidR="00F52D4B" w:rsidRPr="00A772FB" w:rsidRDefault="00F52D4B" w:rsidP="00E34845">
      <w:pPr>
        <w:ind w:left="426" w:hanging="426"/>
        <w:rPr>
          <w:rFonts w:cstheme="minorHAnsi"/>
          <w:sz w:val="16"/>
          <w:szCs w:val="16"/>
        </w:rPr>
      </w:pPr>
    </w:p>
    <w:p w14:paraId="254085F0" w14:textId="3AA2CC81" w:rsidR="00F52D4B" w:rsidRPr="00A772FB" w:rsidRDefault="00F52D4B" w:rsidP="00F52D4B">
      <w:pPr>
        <w:ind w:left="426" w:hanging="426"/>
        <w:rPr>
          <w:rFonts w:cstheme="minorHAnsi"/>
          <w:sz w:val="24"/>
          <w:szCs w:val="24"/>
        </w:rPr>
      </w:pPr>
      <w:r w:rsidRPr="00A772FB">
        <w:rPr>
          <w:rFonts w:cstheme="minorHAnsi"/>
          <w:sz w:val="24"/>
          <w:szCs w:val="24"/>
        </w:rPr>
        <w:t>2.3  Where possible, the Green is made accessible to disabled people – for example, by the ramp pathway at the entrance and the level boardwalk around the historic moat.</w:t>
      </w:r>
      <w:r w:rsidR="00650B15" w:rsidRPr="00A772FB">
        <w:rPr>
          <w:rFonts w:cstheme="minorHAnsi"/>
          <w:sz w:val="24"/>
          <w:szCs w:val="24"/>
        </w:rPr>
        <w:t xml:space="preserve"> Grass paths in the first field are regularly cut by contractors (see also 4.1 below).</w:t>
      </w:r>
    </w:p>
    <w:p w14:paraId="523CD6AE" w14:textId="77777777" w:rsidR="00F52D4B" w:rsidRPr="00A772FB" w:rsidRDefault="00F52D4B" w:rsidP="00F52D4B">
      <w:pPr>
        <w:ind w:left="426" w:hanging="426"/>
        <w:rPr>
          <w:rFonts w:cstheme="minorHAnsi"/>
          <w:sz w:val="16"/>
          <w:szCs w:val="16"/>
        </w:rPr>
      </w:pPr>
    </w:p>
    <w:p w14:paraId="04FA2755" w14:textId="440209E1" w:rsidR="004A255A" w:rsidRPr="00A772FB" w:rsidRDefault="007B04DB" w:rsidP="00256926">
      <w:pPr>
        <w:ind w:left="426" w:hanging="426"/>
        <w:rPr>
          <w:rFonts w:cstheme="minorHAnsi"/>
          <w:sz w:val="24"/>
          <w:szCs w:val="24"/>
        </w:rPr>
      </w:pPr>
      <w:r w:rsidRPr="00A772FB">
        <w:rPr>
          <w:rFonts w:cstheme="minorHAnsi"/>
          <w:sz w:val="24"/>
          <w:szCs w:val="24"/>
        </w:rPr>
        <w:t>2.</w:t>
      </w:r>
      <w:r w:rsidR="00F52D4B" w:rsidRPr="00A772FB">
        <w:rPr>
          <w:rFonts w:cstheme="minorHAnsi"/>
          <w:sz w:val="24"/>
          <w:szCs w:val="24"/>
        </w:rPr>
        <w:t>4</w:t>
      </w:r>
      <w:r w:rsidRPr="00A772FB">
        <w:rPr>
          <w:rFonts w:cstheme="minorHAnsi"/>
          <w:sz w:val="24"/>
          <w:szCs w:val="24"/>
        </w:rPr>
        <w:t xml:space="preserve">  </w:t>
      </w:r>
      <w:r w:rsidR="00B47BDD" w:rsidRPr="00A772FB">
        <w:rPr>
          <w:rFonts w:cstheme="minorHAnsi"/>
          <w:sz w:val="24"/>
          <w:szCs w:val="24"/>
        </w:rPr>
        <w:t>All those work</w:t>
      </w:r>
      <w:r w:rsidR="00751FB4" w:rsidRPr="00A772FB">
        <w:rPr>
          <w:rFonts w:cstheme="minorHAnsi"/>
          <w:sz w:val="24"/>
          <w:szCs w:val="24"/>
        </w:rPr>
        <w:t>ing</w:t>
      </w:r>
      <w:r w:rsidR="00B47BDD" w:rsidRPr="00A772FB">
        <w:rPr>
          <w:rFonts w:cstheme="minorHAnsi"/>
          <w:sz w:val="24"/>
          <w:szCs w:val="24"/>
        </w:rPr>
        <w:t xml:space="preserve"> to </w:t>
      </w:r>
      <w:r w:rsidR="00F52D4B" w:rsidRPr="00A772FB">
        <w:rPr>
          <w:rFonts w:cstheme="minorHAnsi"/>
          <w:sz w:val="24"/>
          <w:szCs w:val="24"/>
        </w:rPr>
        <w:t xml:space="preserve">maintain and </w:t>
      </w:r>
      <w:r w:rsidR="00B47BDD" w:rsidRPr="00A772FB">
        <w:rPr>
          <w:rFonts w:cstheme="minorHAnsi"/>
          <w:sz w:val="24"/>
          <w:szCs w:val="24"/>
        </w:rPr>
        <w:t>promote the Green can expect to work in an environment free from harassment, bullying, or any other activity</w:t>
      </w:r>
      <w:r w:rsidR="00844797" w:rsidRPr="00A772FB">
        <w:rPr>
          <w:rFonts w:cstheme="minorHAnsi"/>
          <w:sz w:val="24"/>
          <w:szCs w:val="24"/>
        </w:rPr>
        <w:t xml:space="preserve">, attitude </w:t>
      </w:r>
      <w:r w:rsidR="00B47BDD" w:rsidRPr="00A772FB">
        <w:rPr>
          <w:rFonts w:cstheme="minorHAnsi"/>
          <w:sz w:val="24"/>
          <w:szCs w:val="24"/>
        </w:rPr>
        <w:t xml:space="preserve">or situation that prevents them fulfilling their potential and role. </w:t>
      </w:r>
    </w:p>
    <w:p w14:paraId="2EEDABFD" w14:textId="6EEBC932" w:rsidR="00C0338C" w:rsidRPr="00A772FB" w:rsidRDefault="00C0338C" w:rsidP="00256926">
      <w:pPr>
        <w:ind w:left="426" w:hanging="426"/>
        <w:rPr>
          <w:rFonts w:cstheme="minorHAnsi"/>
          <w:sz w:val="16"/>
          <w:szCs w:val="16"/>
        </w:rPr>
      </w:pPr>
    </w:p>
    <w:p w14:paraId="66927D85" w14:textId="6030CCF8" w:rsidR="00C0338C" w:rsidRPr="00A772FB" w:rsidRDefault="00C0338C" w:rsidP="00844797">
      <w:pPr>
        <w:rPr>
          <w:rFonts w:cstheme="minorHAnsi"/>
          <w:sz w:val="28"/>
          <w:szCs w:val="28"/>
        </w:rPr>
      </w:pPr>
      <w:r w:rsidRPr="00A772FB">
        <w:rPr>
          <w:rFonts w:cstheme="minorHAnsi"/>
          <w:sz w:val="28"/>
          <w:szCs w:val="28"/>
        </w:rPr>
        <w:t>3.0</w:t>
      </w:r>
      <w:r w:rsidR="00751FB4" w:rsidRPr="00A772FB">
        <w:rPr>
          <w:rFonts w:cstheme="minorHAnsi"/>
          <w:sz w:val="28"/>
          <w:szCs w:val="28"/>
        </w:rPr>
        <w:t xml:space="preserve"> </w:t>
      </w:r>
      <w:r w:rsidRPr="00A772FB">
        <w:rPr>
          <w:rFonts w:cstheme="minorHAnsi"/>
          <w:sz w:val="28"/>
          <w:szCs w:val="28"/>
        </w:rPr>
        <w:t>New Trustees and volunteers:</w:t>
      </w:r>
    </w:p>
    <w:p w14:paraId="696B2C65" w14:textId="77777777" w:rsidR="004A255A" w:rsidRPr="00A772FB" w:rsidRDefault="004A255A" w:rsidP="00256926">
      <w:pPr>
        <w:ind w:left="426" w:hanging="426"/>
        <w:rPr>
          <w:rFonts w:cstheme="minorHAnsi"/>
          <w:sz w:val="16"/>
          <w:szCs w:val="16"/>
        </w:rPr>
      </w:pPr>
    </w:p>
    <w:p w14:paraId="463657AB" w14:textId="37464644" w:rsidR="007B04DB" w:rsidRPr="00A772FB" w:rsidRDefault="00C0338C" w:rsidP="00256926">
      <w:pPr>
        <w:ind w:left="426" w:hanging="426"/>
        <w:rPr>
          <w:rFonts w:cstheme="minorHAnsi"/>
          <w:sz w:val="24"/>
          <w:szCs w:val="24"/>
        </w:rPr>
      </w:pPr>
      <w:r w:rsidRPr="00A772FB">
        <w:rPr>
          <w:rFonts w:cstheme="minorHAnsi"/>
          <w:sz w:val="24"/>
          <w:szCs w:val="24"/>
        </w:rPr>
        <w:t>3</w:t>
      </w:r>
      <w:r w:rsidR="004A255A" w:rsidRPr="00A772FB">
        <w:rPr>
          <w:rFonts w:cstheme="minorHAnsi"/>
          <w:sz w:val="24"/>
          <w:szCs w:val="24"/>
        </w:rPr>
        <w:t>.</w:t>
      </w:r>
      <w:r w:rsidRPr="00A772FB">
        <w:rPr>
          <w:rFonts w:cstheme="minorHAnsi"/>
          <w:sz w:val="24"/>
          <w:szCs w:val="24"/>
        </w:rPr>
        <w:t>1</w:t>
      </w:r>
      <w:r w:rsidR="007B04DB" w:rsidRPr="00A772FB">
        <w:rPr>
          <w:rFonts w:cstheme="minorHAnsi"/>
          <w:sz w:val="24"/>
          <w:szCs w:val="24"/>
        </w:rPr>
        <w:t xml:space="preserve"> </w:t>
      </w:r>
      <w:r w:rsidR="00403B82" w:rsidRPr="00A772FB">
        <w:rPr>
          <w:rFonts w:cstheme="minorHAnsi"/>
          <w:sz w:val="24"/>
          <w:szCs w:val="24"/>
        </w:rPr>
        <w:t xml:space="preserve"> </w:t>
      </w:r>
      <w:r w:rsidR="00B47BDD" w:rsidRPr="00A772FB">
        <w:rPr>
          <w:rFonts w:cstheme="minorHAnsi"/>
          <w:sz w:val="24"/>
          <w:szCs w:val="24"/>
        </w:rPr>
        <w:t>The Trust does not have any paid employees. All Trustees, Advisers or volunteers, including the Clerk to the Trustees, are recruited and retained on a voluntary, unpaid basis.</w:t>
      </w:r>
    </w:p>
    <w:p w14:paraId="1FEA6387" w14:textId="77777777" w:rsidR="00C6340B" w:rsidRPr="00A772FB" w:rsidRDefault="00C6340B" w:rsidP="00E34845">
      <w:pPr>
        <w:ind w:left="426" w:hanging="426"/>
        <w:rPr>
          <w:rFonts w:cstheme="minorHAnsi"/>
          <w:sz w:val="16"/>
          <w:szCs w:val="16"/>
        </w:rPr>
      </w:pPr>
    </w:p>
    <w:p w14:paraId="4BCD8006" w14:textId="6B40493B" w:rsidR="00147133" w:rsidRPr="00A772FB" w:rsidRDefault="00C0338C" w:rsidP="00403B82">
      <w:pPr>
        <w:ind w:left="426" w:hanging="426"/>
        <w:rPr>
          <w:rFonts w:cstheme="minorHAnsi"/>
          <w:sz w:val="24"/>
          <w:szCs w:val="24"/>
        </w:rPr>
      </w:pPr>
      <w:r w:rsidRPr="00A772FB">
        <w:rPr>
          <w:rFonts w:cstheme="minorHAnsi"/>
          <w:sz w:val="24"/>
          <w:szCs w:val="24"/>
        </w:rPr>
        <w:t>3</w:t>
      </w:r>
      <w:r w:rsidR="00256926" w:rsidRPr="00A772FB">
        <w:rPr>
          <w:rFonts w:cstheme="minorHAnsi"/>
          <w:sz w:val="24"/>
          <w:szCs w:val="24"/>
        </w:rPr>
        <w:t>.</w:t>
      </w:r>
      <w:r w:rsidRPr="00A772FB">
        <w:rPr>
          <w:rFonts w:cstheme="minorHAnsi"/>
          <w:sz w:val="24"/>
          <w:szCs w:val="24"/>
        </w:rPr>
        <w:t>2</w:t>
      </w:r>
      <w:r w:rsidR="00256926" w:rsidRPr="00A772FB">
        <w:rPr>
          <w:rFonts w:cstheme="minorHAnsi"/>
          <w:sz w:val="24"/>
          <w:szCs w:val="24"/>
        </w:rPr>
        <w:t xml:space="preserve">  </w:t>
      </w:r>
      <w:r w:rsidR="00B47BDD" w:rsidRPr="00A772FB">
        <w:rPr>
          <w:rFonts w:cstheme="minorHAnsi"/>
          <w:sz w:val="24"/>
          <w:szCs w:val="24"/>
        </w:rPr>
        <w:t xml:space="preserve">In seeking new Trustees, the existing Trustees will have due regard to this policy and ensure that their decision is made solely on the basis of the skills, interest in the subject and experience of the prospective Trustee. </w:t>
      </w:r>
    </w:p>
    <w:p w14:paraId="2CFEEC8A" w14:textId="77777777" w:rsidR="0066278D" w:rsidRPr="00A772FB" w:rsidRDefault="0066278D" w:rsidP="00403B82">
      <w:pPr>
        <w:ind w:left="426" w:hanging="426"/>
        <w:rPr>
          <w:rFonts w:cstheme="minorHAnsi"/>
          <w:sz w:val="16"/>
          <w:szCs w:val="16"/>
        </w:rPr>
      </w:pPr>
    </w:p>
    <w:p w14:paraId="33C1C358" w14:textId="762233BD" w:rsidR="00E513E1" w:rsidRPr="00A772FB" w:rsidRDefault="00C0338C" w:rsidP="00403B82">
      <w:pPr>
        <w:ind w:left="426" w:hanging="426"/>
        <w:rPr>
          <w:rFonts w:cstheme="minorHAnsi"/>
          <w:sz w:val="24"/>
          <w:szCs w:val="24"/>
        </w:rPr>
      </w:pPr>
      <w:r w:rsidRPr="00A772FB">
        <w:rPr>
          <w:rFonts w:cstheme="minorHAnsi"/>
          <w:sz w:val="24"/>
          <w:szCs w:val="24"/>
        </w:rPr>
        <w:t>3</w:t>
      </w:r>
      <w:r w:rsidR="00E513E1" w:rsidRPr="00A772FB">
        <w:rPr>
          <w:rFonts w:cstheme="minorHAnsi"/>
          <w:sz w:val="24"/>
          <w:szCs w:val="24"/>
        </w:rPr>
        <w:t>.</w:t>
      </w:r>
      <w:r w:rsidRPr="00A772FB">
        <w:rPr>
          <w:rFonts w:cstheme="minorHAnsi"/>
          <w:sz w:val="24"/>
          <w:szCs w:val="24"/>
        </w:rPr>
        <w:t>3  Any work opportunities that arise – for example</w:t>
      </w:r>
      <w:r w:rsidR="00F52D4B" w:rsidRPr="00A772FB">
        <w:rPr>
          <w:rFonts w:cstheme="minorHAnsi"/>
          <w:sz w:val="24"/>
          <w:szCs w:val="24"/>
        </w:rPr>
        <w:t>,</w:t>
      </w:r>
      <w:r w:rsidRPr="00A772FB">
        <w:rPr>
          <w:rFonts w:cstheme="minorHAnsi"/>
          <w:sz w:val="24"/>
          <w:szCs w:val="24"/>
        </w:rPr>
        <w:t xml:space="preserve"> if a new Clerk is to be appointed – are advertised locally as appropriate</w:t>
      </w:r>
      <w:r w:rsidR="00844797" w:rsidRPr="00A772FB">
        <w:rPr>
          <w:rFonts w:cstheme="minorHAnsi"/>
          <w:sz w:val="24"/>
          <w:szCs w:val="24"/>
        </w:rPr>
        <w:t xml:space="preserve"> </w:t>
      </w:r>
      <w:r w:rsidR="0004000B" w:rsidRPr="00A772FB">
        <w:rPr>
          <w:rFonts w:cstheme="minorHAnsi"/>
          <w:sz w:val="24"/>
          <w:szCs w:val="24"/>
        </w:rPr>
        <w:t>and</w:t>
      </w:r>
      <w:r w:rsidR="00844797" w:rsidRPr="00A772FB">
        <w:rPr>
          <w:rFonts w:cstheme="minorHAnsi"/>
          <w:sz w:val="24"/>
          <w:szCs w:val="24"/>
        </w:rPr>
        <w:t xml:space="preserve"> the selection made in line with Clause 2.2 above.</w:t>
      </w:r>
      <w:r w:rsidRPr="00A772FB">
        <w:rPr>
          <w:rFonts w:cstheme="minorHAnsi"/>
          <w:sz w:val="24"/>
          <w:szCs w:val="24"/>
        </w:rPr>
        <w:t xml:space="preserve"> </w:t>
      </w:r>
    </w:p>
    <w:p w14:paraId="6906636B" w14:textId="77777777" w:rsidR="00C0338C" w:rsidRPr="00A772FB" w:rsidRDefault="00C0338C" w:rsidP="00403B82">
      <w:pPr>
        <w:ind w:left="426" w:hanging="426"/>
        <w:rPr>
          <w:rFonts w:cstheme="minorHAnsi"/>
          <w:sz w:val="16"/>
          <w:szCs w:val="16"/>
        </w:rPr>
      </w:pPr>
    </w:p>
    <w:p w14:paraId="715DEB4F" w14:textId="404B3C45" w:rsidR="007B04DB" w:rsidRPr="00A772FB" w:rsidRDefault="00844797">
      <w:pPr>
        <w:rPr>
          <w:rFonts w:cstheme="minorHAnsi"/>
          <w:sz w:val="28"/>
          <w:szCs w:val="28"/>
        </w:rPr>
      </w:pPr>
      <w:r w:rsidRPr="00A772FB">
        <w:rPr>
          <w:rFonts w:cstheme="minorHAnsi"/>
          <w:sz w:val="28"/>
          <w:szCs w:val="28"/>
        </w:rPr>
        <w:t>4</w:t>
      </w:r>
      <w:r w:rsidR="007B04DB" w:rsidRPr="00A772FB">
        <w:rPr>
          <w:rFonts w:cstheme="minorHAnsi"/>
          <w:sz w:val="28"/>
          <w:szCs w:val="28"/>
        </w:rPr>
        <w:t xml:space="preserve">.0  </w:t>
      </w:r>
      <w:r w:rsidR="00C0338C" w:rsidRPr="00A772FB">
        <w:rPr>
          <w:rFonts w:cstheme="minorHAnsi"/>
          <w:sz w:val="28"/>
          <w:szCs w:val="28"/>
        </w:rPr>
        <w:t xml:space="preserve">Contractors </w:t>
      </w:r>
    </w:p>
    <w:p w14:paraId="4FB481FE" w14:textId="77777777" w:rsidR="007B04DB" w:rsidRPr="00A772FB" w:rsidRDefault="007B04DB" w:rsidP="00A772FB">
      <w:pPr>
        <w:ind w:left="426" w:hanging="426"/>
        <w:rPr>
          <w:rFonts w:cstheme="minorHAnsi"/>
          <w:sz w:val="16"/>
          <w:szCs w:val="16"/>
        </w:rPr>
      </w:pPr>
    </w:p>
    <w:p w14:paraId="2480A024" w14:textId="78476DC9" w:rsidR="00403B82" w:rsidRPr="00A772FB" w:rsidRDefault="00844797" w:rsidP="00403B82">
      <w:pPr>
        <w:ind w:left="426" w:hanging="426"/>
        <w:rPr>
          <w:rFonts w:cstheme="minorHAnsi"/>
          <w:sz w:val="24"/>
          <w:szCs w:val="24"/>
        </w:rPr>
      </w:pPr>
      <w:r w:rsidRPr="00A772FB">
        <w:rPr>
          <w:rFonts w:cstheme="minorHAnsi"/>
          <w:sz w:val="24"/>
          <w:szCs w:val="24"/>
        </w:rPr>
        <w:t>4</w:t>
      </w:r>
      <w:r w:rsidR="007B04DB" w:rsidRPr="00A772FB">
        <w:rPr>
          <w:rFonts w:cstheme="minorHAnsi"/>
          <w:sz w:val="24"/>
          <w:szCs w:val="24"/>
        </w:rPr>
        <w:t xml:space="preserve">.1  The </w:t>
      </w:r>
      <w:r w:rsidRPr="00A772FB">
        <w:rPr>
          <w:rFonts w:cstheme="minorHAnsi"/>
          <w:sz w:val="24"/>
          <w:szCs w:val="24"/>
        </w:rPr>
        <w:t xml:space="preserve">IMGT contracts professional services from time to time – for example, for tree surgery, grass cutting, or construction works.  Providers of these services are selected solely on the basis of their expertise, previous work </w:t>
      </w:r>
      <w:r w:rsidR="00F52D4B" w:rsidRPr="00A772FB">
        <w:rPr>
          <w:rFonts w:cstheme="minorHAnsi"/>
          <w:sz w:val="24"/>
          <w:szCs w:val="24"/>
        </w:rPr>
        <w:t xml:space="preserve">of quality </w:t>
      </w:r>
      <w:r w:rsidRPr="00A772FB">
        <w:rPr>
          <w:rFonts w:cstheme="minorHAnsi"/>
          <w:sz w:val="24"/>
          <w:szCs w:val="24"/>
        </w:rPr>
        <w:t xml:space="preserve">with the Trust and other factors such as price, and in line with Clause 2.2 above. </w:t>
      </w:r>
    </w:p>
    <w:p w14:paraId="1372EE51" w14:textId="2C32DE40" w:rsidR="004275E5" w:rsidRPr="00A772FB" w:rsidRDefault="00E513E1" w:rsidP="004275E5">
      <w:pPr>
        <w:ind w:left="426" w:hanging="426"/>
        <w:rPr>
          <w:rFonts w:cstheme="minorHAnsi"/>
          <w:sz w:val="24"/>
          <w:szCs w:val="24"/>
        </w:rPr>
      </w:pPr>
      <w:r w:rsidRPr="00A772FB">
        <w:rPr>
          <w:rFonts w:cstheme="minorHAnsi"/>
          <w:sz w:val="24"/>
          <w:szCs w:val="24"/>
        </w:rPr>
        <w:t>…………………………………………………………………………………</w:t>
      </w:r>
    </w:p>
    <w:p w14:paraId="56788E3B" w14:textId="77F7E98E" w:rsidR="004275E5" w:rsidRPr="00283F91" w:rsidRDefault="004275E5" w:rsidP="004275E5">
      <w:pPr>
        <w:ind w:left="426" w:hanging="426"/>
        <w:rPr>
          <w:rFonts w:cstheme="minorHAnsi"/>
          <w:sz w:val="18"/>
          <w:szCs w:val="18"/>
        </w:rPr>
      </w:pPr>
      <w:r w:rsidRPr="00283F91">
        <w:rPr>
          <w:rFonts w:cstheme="minorHAnsi"/>
          <w:sz w:val="18"/>
          <w:szCs w:val="18"/>
        </w:rPr>
        <w:t>Policy draft v</w:t>
      </w:r>
      <w:r w:rsidR="00FC402D" w:rsidRPr="00283F91">
        <w:rPr>
          <w:rFonts w:cstheme="minorHAnsi"/>
          <w:sz w:val="18"/>
          <w:szCs w:val="18"/>
        </w:rPr>
        <w:t>02</w:t>
      </w:r>
      <w:r w:rsidRPr="00283F91">
        <w:rPr>
          <w:rFonts w:cstheme="minorHAnsi"/>
          <w:sz w:val="18"/>
          <w:szCs w:val="18"/>
        </w:rPr>
        <w:t xml:space="preserve">  </w:t>
      </w:r>
      <w:r w:rsidRPr="00283F91">
        <w:rPr>
          <w:rFonts w:cstheme="minorHAnsi"/>
          <w:sz w:val="18"/>
          <w:szCs w:val="18"/>
        </w:rPr>
        <w:tab/>
      </w:r>
      <w:r w:rsidRPr="00283F91">
        <w:rPr>
          <w:rFonts w:cstheme="minorHAnsi"/>
          <w:sz w:val="18"/>
          <w:szCs w:val="18"/>
        </w:rPr>
        <w:tab/>
      </w:r>
      <w:r w:rsidRPr="00283F91">
        <w:rPr>
          <w:rFonts w:cstheme="minorHAnsi"/>
          <w:sz w:val="18"/>
          <w:szCs w:val="18"/>
        </w:rPr>
        <w:tab/>
      </w:r>
      <w:r w:rsidR="002D616F" w:rsidRPr="00283F91">
        <w:rPr>
          <w:rFonts w:cstheme="minorHAnsi"/>
          <w:sz w:val="18"/>
          <w:szCs w:val="18"/>
        </w:rPr>
        <w:tab/>
      </w:r>
      <w:r w:rsidR="00FC402D" w:rsidRPr="00283F91">
        <w:rPr>
          <w:rFonts w:cstheme="minorHAnsi"/>
          <w:sz w:val="18"/>
          <w:szCs w:val="18"/>
        </w:rPr>
        <w:t>December</w:t>
      </w:r>
      <w:r w:rsidRPr="00283F91">
        <w:rPr>
          <w:rFonts w:cstheme="minorHAnsi"/>
          <w:sz w:val="18"/>
          <w:szCs w:val="18"/>
        </w:rPr>
        <w:t xml:space="preserve"> 2020</w:t>
      </w:r>
    </w:p>
    <w:p w14:paraId="004A5D05" w14:textId="7CC7F6FA" w:rsidR="004275E5" w:rsidRPr="00283F91" w:rsidRDefault="004275E5" w:rsidP="004275E5">
      <w:pPr>
        <w:ind w:left="426" w:hanging="426"/>
        <w:rPr>
          <w:rFonts w:cstheme="minorHAnsi"/>
          <w:sz w:val="18"/>
          <w:szCs w:val="18"/>
        </w:rPr>
      </w:pPr>
      <w:r w:rsidRPr="00283F91">
        <w:rPr>
          <w:rFonts w:cstheme="minorHAnsi"/>
          <w:sz w:val="18"/>
          <w:szCs w:val="18"/>
        </w:rPr>
        <w:t xml:space="preserve">Approved by Trustees </w:t>
      </w:r>
      <w:r w:rsidRPr="00283F91">
        <w:rPr>
          <w:rFonts w:cstheme="minorHAnsi"/>
          <w:sz w:val="18"/>
          <w:szCs w:val="18"/>
        </w:rPr>
        <w:tab/>
      </w:r>
      <w:r w:rsidRPr="00283F91">
        <w:rPr>
          <w:rFonts w:cstheme="minorHAnsi"/>
          <w:sz w:val="18"/>
          <w:szCs w:val="18"/>
        </w:rPr>
        <w:tab/>
      </w:r>
      <w:r w:rsidR="002D616F" w:rsidRPr="00283F91">
        <w:rPr>
          <w:rFonts w:cstheme="minorHAnsi"/>
          <w:sz w:val="18"/>
          <w:szCs w:val="18"/>
        </w:rPr>
        <w:tab/>
      </w:r>
      <w:r w:rsidRPr="00283F91">
        <w:rPr>
          <w:rFonts w:cstheme="minorHAnsi"/>
          <w:sz w:val="18"/>
          <w:szCs w:val="18"/>
        </w:rPr>
        <w:t>January 2021</w:t>
      </w:r>
    </w:p>
    <w:p w14:paraId="2D53B43B" w14:textId="77777777" w:rsidR="002C352D" w:rsidRPr="00283F91" w:rsidRDefault="002D616F" w:rsidP="004275E5">
      <w:pPr>
        <w:ind w:left="426" w:hanging="426"/>
        <w:rPr>
          <w:sz w:val="18"/>
          <w:szCs w:val="18"/>
        </w:rPr>
      </w:pPr>
      <w:r w:rsidRPr="00283F91">
        <w:rPr>
          <w:sz w:val="18"/>
          <w:szCs w:val="18"/>
        </w:rPr>
        <w:t xml:space="preserve">Not tabled Jan 2022 – this </w:t>
      </w:r>
      <w:r w:rsidR="002C352D" w:rsidRPr="00283F91">
        <w:rPr>
          <w:sz w:val="18"/>
          <w:szCs w:val="18"/>
        </w:rPr>
        <w:t>version</w:t>
      </w:r>
      <w:r w:rsidRPr="00283F91">
        <w:rPr>
          <w:sz w:val="18"/>
          <w:szCs w:val="18"/>
        </w:rPr>
        <w:t xml:space="preserve"> v0</w:t>
      </w:r>
      <w:r w:rsidR="002C352D" w:rsidRPr="00283F91">
        <w:rPr>
          <w:sz w:val="18"/>
          <w:szCs w:val="18"/>
        </w:rPr>
        <w:t>3</w:t>
      </w:r>
      <w:r w:rsidRPr="00283F91">
        <w:rPr>
          <w:sz w:val="18"/>
          <w:szCs w:val="18"/>
        </w:rPr>
        <w:t xml:space="preserve">      </w:t>
      </w:r>
      <w:r w:rsidRPr="00283F91">
        <w:rPr>
          <w:sz w:val="18"/>
          <w:szCs w:val="18"/>
        </w:rPr>
        <w:tab/>
      </w:r>
      <w:r w:rsidR="002C352D" w:rsidRPr="00283F91">
        <w:rPr>
          <w:sz w:val="18"/>
          <w:szCs w:val="18"/>
        </w:rPr>
        <w:t>Re-approved 30</w:t>
      </w:r>
      <w:r w:rsidRPr="00283F91">
        <w:rPr>
          <w:sz w:val="18"/>
          <w:szCs w:val="18"/>
        </w:rPr>
        <w:t xml:space="preserve"> Jan 2023</w:t>
      </w:r>
    </w:p>
    <w:p w14:paraId="51409457" w14:textId="6FDF4AD2" w:rsidR="00283F91" w:rsidRPr="00283F91" w:rsidRDefault="00283F91" w:rsidP="004275E5">
      <w:pPr>
        <w:ind w:left="426" w:hanging="426"/>
        <w:rPr>
          <w:sz w:val="18"/>
          <w:szCs w:val="18"/>
        </w:rPr>
      </w:pPr>
      <w:r w:rsidRPr="00283F91">
        <w:rPr>
          <w:sz w:val="18"/>
          <w:szCs w:val="18"/>
        </w:rPr>
        <w:t xml:space="preserve">Reapproved unchanged </w:t>
      </w:r>
      <w:r w:rsidRPr="00283F91">
        <w:rPr>
          <w:sz w:val="18"/>
          <w:szCs w:val="18"/>
        </w:rPr>
        <w:tab/>
      </w:r>
      <w:r w:rsidRPr="00283F91">
        <w:rPr>
          <w:sz w:val="18"/>
          <w:szCs w:val="18"/>
        </w:rPr>
        <w:tab/>
      </w:r>
      <w:r w:rsidRPr="00283F91">
        <w:rPr>
          <w:sz w:val="18"/>
          <w:szCs w:val="18"/>
        </w:rPr>
        <w:tab/>
        <w:t>29 January 2024</w:t>
      </w:r>
    </w:p>
    <w:p w14:paraId="38787A1D" w14:textId="4FCDDAFD" w:rsidR="002D616F" w:rsidRPr="00283F91" w:rsidRDefault="002C352D" w:rsidP="004275E5">
      <w:pPr>
        <w:ind w:left="426" w:hanging="426"/>
        <w:rPr>
          <w:rFonts w:cstheme="minorHAnsi"/>
          <w:sz w:val="18"/>
          <w:szCs w:val="18"/>
        </w:rPr>
      </w:pPr>
      <w:r w:rsidRPr="00283F91">
        <w:rPr>
          <w:color w:val="0070C0"/>
          <w:sz w:val="18"/>
          <w:szCs w:val="18"/>
        </w:rPr>
        <w:t xml:space="preserve">Next review date  </w:t>
      </w:r>
      <w:r w:rsidRPr="00283F91">
        <w:rPr>
          <w:color w:val="0070C0"/>
          <w:sz w:val="18"/>
          <w:szCs w:val="18"/>
        </w:rPr>
        <w:tab/>
      </w:r>
      <w:r w:rsidRPr="00283F91">
        <w:rPr>
          <w:color w:val="0070C0"/>
          <w:sz w:val="18"/>
          <w:szCs w:val="18"/>
        </w:rPr>
        <w:tab/>
      </w:r>
      <w:r w:rsidRPr="00283F91">
        <w:rPr>
          <w:color w:val="0070C0"/>
          <w:sz w:val="18"/>
          <w:szCs w:val="18"/>
        </w:rPr>
        <w:tab/>
      </w:r>
      <w:r w:rsidRPr="00283F91">
        <w:rPr>
          <w:color w:val="0070C0"/>
          <w:sz w:val="18"/>
          <w:szCs w:val="18"/>
        </w:rPr>
        <w:tab/>
        <w:t>January 202</w:t>
      </w:r>
      <w:r w:rsidR="00283F91" w:rsidRPr="00283F91">
        <w:rPr>
          <w:color w:val="0070C0"/>
          <w:sz w:val="18"/>
          <w:szCs w:val="18"/>
        </w:rPr>
        <w:t>5</w:t>
      </w:r>
    </w:p>
    <w:sectPr w:rsidR="002D616F" w:rsidRPr="00283F91" w:rsidSect="00A772FB">
      <w:type w:val="continuous"/>
      <w:pgSz w:w="11906" w:h="16838"/>
      <w:pgMar w:top="680" w:right="1134" w:bottom="68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abird SF">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SABlack">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5090"/>
    <w:multiLevelType w:val="multilevel"/>
    <w:tmpl w:val="5F440F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94905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DB"/>
    <w:rsid w:val="0004000B"/>
    <w:rsid w:val="000466DB"/>
    <w:rsid w:val="00096DD6"/>
    <w:rsid w:val="00111E7C"/>
    <w:rsid w:val="00147133"/>
    <w:rsid w:val="00227D8E"/>
    <w:rsid w:val="00256926"/>
    <w:rsid w:val="00264744"/>
    <w:rsid w:val="00283F91"/>
    <w:rsid w:val="002C352D"/>
    <w:rsid w:val="002D616F"/>
    <w:rsid w:val="0037174C"/>
    <w:rsid w:val="003D24EF"/>
    <w:rsid w:val="00403B82"/>
    <w:rsid w:val="004275E5"/>
    <w:rsid w:val="004A255A"/>
    <w:rsid w:val="004A4A9B"/>
    <w:rsid w:val="005C43B1"/>
    <w:rsid w:val="005F2385"/>
    <w:rsid w:val="00650B15"/>
    <w:rsid w:val="0066278D"/>
    <w:rsid w:val="0071233B"/>
    <w:rsid w:val="00751FB4"/>
    <w:rsid w:val="007A206E"/>
    <w:rsid w:val="007B04DB"/>
    <w:rsid w:val="007C4650"/>
    <w:rsid w:val="007C7290"/>
    <w:rsid w:val="007F2C3D"/>
    <w:rsid w:val="00802CD0"/>
    <w:rsid w:val="00844797"/>
    <w:rsid w:val="0088020C"/>
    <w:rsid w:val="009305C8"/>
    <w:rsid w:val="0093420F"/>
    <w:rsid w:val="0099229B"/>
    <w:rsid w:val="009B6F8C"/>
    <w:rsid w:val="009E34AB"/>
    <w:rsid w:val="00A772FB"/>
    <w:rsid w:val="00B47BDD"/>
    <w:rsid w:val="00BA7D87"/>
    <w:rsid w:val="00BF5482"/>
    <w:rsid w:val="00C0338C"/>
    <w:rsid w:val="00C6340B"/>
    <w:rsid w:val="00CA0814"/>
    <w:rsid w:val="00D10EEB"/>
    <w:rsid w:val="00DF7D55"/>
    <w:rsid w:val="00E34845"/>
    <w:rsid w:val="00E513E1"/>
    <w:rsid w:val="00F52D4B"/>
    <w:rsid w:val="00FC4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AF47"/>
  <w15:chartTrackingRefBased/>
  <w15:docId w15:val="{BF816765-EEF5-4013-B164-9C3B6708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F7D55"/>
    <w:pPr>
      <w:keepNext/>
      <w:outlineLvl w:val="0"/>
    </w:pPr>
    <w:rPr>
      <w:rFonts w:ascii="Seabird SF" w:eastAsia="Times New Roman" w:hAnsi="Seabird SF" w:cs="Times New Roman"/>
      <w:noProof/>
      <w:sz w:val="3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D55"/>
    <w:rPr>
      <w:rFonts w:ascii="Seabird SF" w:eastAsia="Times New Roman" w:hAnsi="Seabird SF" w:cs="Times New Roman"/>
      <w:noProof/>
      <w:sz w:val="36"/>
      <w:szCs w:val="20"/>
      <w:lang w:eastAsia="en-GB"/>
    </w:rPr>
  </w:style>
  <w:style w:type="character" w:styleId="Hyperlink">
    <w:name w:val="Hyperlink"/>
    <w:basedOn w:val="DefaultParagraphFont"/>
    <w:uiPriority w:val="99"/>
    <w:unhideWhenUsed/>
    <w:rsid w:val="00802CD0"/>
    <w:rPr>
      <w:color w:val="0563C1" w:themeColor="hyperlink"/>
      <w:u w:val="single"/>
    </w:rPr>
  </w:style>
  <w:style w:type="character" w:styleId="UnresolvedMention">
    <w:name w:val="Unresolved Mention"/>
    <w:basedOn w:val="DefaultParagraphFont"/>
    <w:uiPriority w:val="99"/>
    <w:semiHidden/>
    <w:unhideWhenUsed/>
    <w:rsid w:val="00802CD0"/>
    <w:rPr>
      <w:color w:val="605E5C"/>
      <w:shd w:val="clear" w:color="auto" w:fill="E1DFDD"/>
    </w:rPr>
  </w:style>
  <w:style w:type="paragraph" w:styleId="ListParagraph">
    <w:name w:val="List Paragraph"/>
    <w:basedOn w:val="Normal"/>
    <w:uiPriority w:val="34"/>
    <w:qFormat/>
    <w:rsid w:val="00C03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Patrickson</dc:creator>
  <cp:keywords/>
  <dc:description/>
  <cp:lastModifiedBy>Tim Patrickson</cp:lastModifiedBy>
  <cp:revision>3</cp:revision>
  <dcterms:created xsi:type="dcterms:W3CDTF">2024-01-30T17:43:00Z</dcterms:created>
  <dcterms:modified xsi:type="dcterms:W3CDTF">2024-01-30T17:47:00Z</dcterms:modified>
</cp:coreProperties>
</file>